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9764E1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4331E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160352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</w:t>
      </w:r>
      <w:r w:rsidR="00F96164">
        <w:rPr>
          <w:b w:val="0"/>
          <w:szCs w:val="28"/>
        </w:rPr>
        <w:t xml:space="preserve"> </w:t>
      </w:r>
      <w:r>
        <w:rPr>
          <w:b w:val="0"/>
          <w:szCs w:val="28"/>
        </w:rPr>
        <w:t>административного обеспечения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6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9764E1" w:rsidRDefault="00AD4A49" w:rsidP="009764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9764E1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 xml:space="preserve">в рабочие дни понедельник-четверг с </w:t>
      </w:r>
      <w:r w:rsidR="00F66DD9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F66DD9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.45, перерыв на обед: </w:t>
      </w:r>
      <w:r w:rsidRPr="008D5D1E">
        <w:rPr>
          <w:bCs/>
          <w:sz w:val="28"/>
          <w:szCs w:val="28"/>
        </w:rPr>
        <w:lastRenderedPageBreak/>
        <w:t>1</w:t>
      </w:r>
      <w:r w:rsidR="00F66DD9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.00-1</w:t>
      </w:r>
      <w:r w:rsidR="00F66DD9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7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160352">
        <w:rPr>
          <w:b/>
          <w:bCs/>
          <w:sz w:val="28"/>
          <w:szCs w:val="28"/>
          <w:highlight w:val="yellow"/>
        </w:rPr>
        <w:t>27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F66DD9">
        <w:rPr>
          <w:b/>
          <w:bCs/>
          <w:sz w:val="28"/>
          <w:szCs w:val="28"/>
          <w:highlight w:val="yellow"/>
        </w:rPr>
        <w:t>октября</w:t>
      </w:r>
      <w:r w:rsidR="009764E1">
        <w:rPr>
          <w:b/>
          <w:bCs/>
          <w:sz w:val="28"/>
          <w:szCs w:val="28"/>
          <w:highlight w:val="yellow"/>
        </w:rPr>
        <w:t xml:space="preserve"> </w:t>
      </w:r>
      <w:r w:rsidR="00B73EBC">
        <w:rPr>
          <w:b/>
          <w:bCs/>
          <w:sz w:val="28"/>
          <w:szCs w:val="28"/>
          <w:highlight w:val="yellow"/>
        </w:rPr>
        <w:t xml:space="preserve"> 2020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 xml:space="preserve">(88172) 239029  </w:t>
      </w: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8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9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10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1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2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Pr="009764E1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9764E1">
        <w:rPr>
          <w:bCs/>
          <w:sz w:val="28"/>
          <w:szCs w:val="28"/>
        </w:rPr>
        <w:t xml:space="preserve"> до </w:t>
      </w:r>
      <w:r w:rsidR="00160352">
        <w:rPr>
          <w:b/>
          <w:bCs/>
          <w:sz w:val="28"/>
          <w:szCs w:val="28"/>
        </w:rPr>
        <w:t>27</w:t>
      </w:r>
      <w:r w:rsidR="00F66DD9">
        <w:rPr>
          <w:b/>
          <w:bCs/>
          <w:sz w:val="28"/>
          <w:szCs w:val="28"/>
        </w:rPr>
        <w:t xml:space="preserve"> ноября</w:t>
      </w:r>
      <w:r w:rsidR="00C73352">
        <w:rPr>
          <w:b/>
          <w:bCs/>
          <w:sz w:val="28"/>
          <w:szCs w:val="28"/>
        </w:rPr>
        <w:t xml:space="preserve">  2020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0D26E5">
        <w:rPr>
          <w:sz w:val="28"/>
          <w:szCs w:val="28"/>
        </w:rPr>
        <w:t xml:space="preserve">«Юриспруденция»,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3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4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5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6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9764E1" w:rsidRPr="009764E1" w:rsidRDefault="009764E1" w:rsidP="00F66DD9">
      <w:pPr>
        <w:jc w:val="both"/>
        <w:rPr>
          <w:sz w:val="28"/>
          <w:szCs w:val="28"/>
        </w:rPr>
      </w:pPr>
    </w:p>
    <w:p w:rsidR="00166B92" w:rsidRDefault="00166B92" w:rsidP="009764E1">
      <w:pPr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</w:t>
      </w:r>
      <w:r w:rsidR="00160352">
        <w:rPr>
          <w:b/>
          <w:szCs w:val="28"/>
          <w:u w:val="single"/>
        </w:rPr>
        <w:t>административного обеспечения</w:t>
      </w:r>
      <w:r w:rsidRPr="00697122">
        <w:rPr>
          <w:b/>
          <w:szCs w:val="28"/>
          <w:u w:val="single"/>
        </w:rPr>
        <w:t xml:space="preserve">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1) правовое обеспечение деятельности Управления, выявление, анализ и урегулирование правовых проблем;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2) выявление причин и условий, способствующих нарушению законности в деятельности Управления, подготовка и осуществление мер, направленных на их устранение;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 xml:space="preserve">3) обеспечение разработки проектов документов, регламентирующих деятельность Управления; 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 xml:space="preserve">4) осуществление </w:t>
      </w:r>
      <w:r w:rsidRPr="00160352">
        <w:rPr>
          <w:b/>
          <w:sz w:val="28"/>
          <w:szCs w:val="28"/>
        </w:rPr>
        <w:t>правовой экспертизы</w:t>
      </w:r>
      <w:r w:rsidRPr="00160352">
        <w:rPr>
          <w:sz w:val="28"/>
          <w:szCs w:val="28"/>
        </w:rPr>
        <w:t xml:space="preserve"> проектов приказов, распоряжений, инструкций, положений, актов, предписаний и других документов, касающихся организации деятельности Управления, подготовленных отделами; 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lastRenderedPageBreak/>
        <w:t>5) анализ и подготовка  предложений об отмене, изменении или дополнении приказов, распоряжений, положений, инструкций и других документов, регламентирующих деятельность Управления;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6) обеспечение работы по ведению претензионной и исковой работы;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7) подготовка и оформление к передаче в судебные органы необходимых материалов по ненадлежащему исполнению государственных контрактов (договоров), возмещению ущерба, причиненного Управлению и по иным направлениям деятельности Управления;</w:t>
      </w:r>
    </w:p>
    <w:p w:rsidR="00160352" w:rsidRPr="00160352" w:rsidRDefault="00160352" w:rsidP="00160352">
      <w:pPr>
        <w:tabs>
          <w:tab w:val="left" w:pos="0"/>
          <w:tab w:val="left" w:pos="12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8)  мониторинг изменений законодательства Российской Федерации и их анализ;</w:t>
      </w:r>
    </w:p>
    <w:p w:rsidR="00160352" w:rsidRPr="00160352" w:rsidRDefault="00160352" w:rsidP="00160352">
      <w:pPr>
        <w:tabs>
          <w:tab w:val="left" w:pos="0"/>
          <w:tab w:val="left" w:pos="12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9) представление  интересов Управления в судах и других органах власти;</w:t>
      </w:r>
    </w:p>
    <w:p w:rsidR="00160352" w:rsidRPr="00160352" w:rsidRDefault="00160352" w:rsidP="00160352">
      <w:pPr>
        <w:suppressAutoHyphens/>
        <w:overflowPunct/>
        <w:ind w:left="360"/>
        <w:jc w:val="both"/>
        <w:textAlignment w:val="auto"/>
        <w:rPr>
          <w:sz w:val="28"/>
          <w:szCs w:val="28"/>
        </w:rPr>
      </w:pPr>
      <w:r w:rsidRPr="00160352">
        <w:rPr>
          <w:spacing w:val="-2"/>
          <w:sz w:val="28"/>
          <w:szCs w:val="28"/>
        </w:rPr>
        <w:t xml:space="preserve">   10)  </w:t>
      </w:r>
      <w:r w:rsidRPr="00160352">
        <w:rPr>
          <w:sz w:val="28"/>
          <w:szCs w:val="28"/>
        </w:rPr>
        <w:t>Участие в п</w:t>
      </w:r>
      <w:r w:rsidRPr="00160352">
        <w:rPr>
          <w:bCs/>
          <w:sz w:val="28"/>
          <w:szCs w:val="28"/>
        </w:rPr>
        <w:t>редварительном</w:t>
      </w:r>
      <w:r w:rsidRPr="00160352">
        <w:rPr>
          <w:iCs/>
          <w:sz w:val="28"/>
          <w:szCs w:val="28"/>
        </w:rPr>
        <w:t xml:space="preserve"> сборе данных о потребностях, ценах на товары, работы, услуги для нужд Управления:</w:t>
      </w:r>
    </w:p>
    <w:p w:rsidR="00160352" w:rsidRPr="00160352" w:rsidRDefault="00160352" w:rsidP="00160352">
      <w:pPr>
        <w:suppressAutoHyphens/>
        <w:overflowPunct/>
        <w:ind w:firstLine="360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Обработка и анализ информации о ценах на товары, работы, услуги;</w:t>
      </w:r>
    </w:p>
    <w:p w:rsidR="00160352" w:rsidRDefault="00160352" w:rsidP="00160352">
      <w:pPr>
        <w:suppressAutoHyphens/>
        <w:overflowPunct/>
        <w:ind w:firstLine="360"/>
        <w:jc w:val="both"/>
        <w:textAlignment w:val="auto"/>
        <w:rPr>
          <w:sz w:val="28"/>
          <w:szCs w:val="28"/>
        </w:rPr>
      </w:pPr>
      <w:r w:rsidRPr="00160352">
        <w:rPr>
          <w:bCs/>
          <w:sz w:val="28"/>
          <w:szCs w:val="28"/>
        </w:rPr>
        <w:t>- Обработка</w:t>
      </w:r>
      <w:r w:rsidRPr="00160352">
        <w:rPr>
          <w:sz w:val="28"/>
          <w:szCs w:val="28"/>
        </w:rPr>
        <w:t xml:space="preserve"> и хранение данных, информации, документов, в том числе полученных от </w:t>
      </w:r>
      <w:proofErr w:type="spellStart"/>
      <w:r w:rsidRPr="00160352">
        <w:rPr>
          <w:sz w:val="28"/>
          <w:szCs w:val="28"/>
        </w:rPr>
        <w:t>поставщикоЛв</w:t>
      </w:r>
      <w:proofErr w:type="spellEnd"/>
      <w:r w:rsidRPr="00160352">
        <w:rPr>
          <w:sz w:val="28"/>
          <w:szCs w:val="28"/>
        </w:rPr>
        <w:t xml:space="preserve"> (подрядчиков, исполнителей).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60352">
        <w:rPr>
          <w:color w:val="000000"/>
          <w:sz w:val="28"/>
          <w:szCs w:val="28"/>
        </w:rPr>
        <w:t xml:space="preserve">Участие </w:t>
      </w:r>
      <w:r w:rsidRPr="00160352">
        <w:rPr>
          <w:sz w:val="28"/>
          <w:szCs w:val="28"/>
        </w:rPr>
        <w:t>в работе контрактной службы Управления: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Составление плана закупок;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Составление и ведение плана-графика закупок, внесение изменений в план – график закупок;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Разработка документации по размещению государственных заказов на закупку товаров, работ, услуг;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Проведение процедуры размещения государственного заказа на официальном общероссийском сайте и дальнейшее проведение процедуры закупок в соответствии с требованиями нормативных документов;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Обеспечение осуществления закупок, в том числе заключение контрактов для нужд Управления;</w:t>
      </w:r>
    </w:p>
    <w:p w:rsidR="00160352" w:rsidRDefault="00160352" w:rsidP="00160352">
      <w:pPr>
        <w:suppressAutoHyphens/>
        <w:overflowPunct/>
        <w:ind w:firstLine="360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- Сопровождение исполнения контрактов с размещением необходимых документов на электронных площадках.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160352">
        <w:rPr>
          <w:color w:val="000000"/>
          <w:sz w:val="28"/>
          <w:szCs w:val="28"/>
        </w:rPr>
        <w:t>Обработка</w:t>
      </w:r>
      <w:r w:rsidRPr="00160352">
        <w:rPr>
          <w:iCs/>
          <w:sz w:val="28"/>
          <w:szCs w:val="28"/>
        </w:rPr>
        <w:t xml:space="preserve"> результатов закупки: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Сбор и анализ поступивших заявок;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Организационно-техническое обеспечение деятельности комиссий по осуществлению закупок;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Обработка заявок, проверка банковских гарантий, оценка результатов и подведение итогов закупочной процедуры;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Публичное размещение полученных результатов;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Направление приглашений для заключения контрактов;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Проверка необходимой документации для заключения контрактов;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- Контроль процедуры подписания контракта с поставщиками (подрядчиками, исполнителями);</w:t>
      </w:r>
    </w:p>
    <w:p w:rsid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lastRenderedPageBreak/>
        <w:t>- Публичное размещение отчетов, информации о неисполнении контракта, о санкциях, об изменении или о расторжении контракта;</w:t>
      </w:r>
    </w:p>
    <w:p w:rsidR="00160352" w:rsidRPr="00160352" w:rsidRDefault="00160352" w:rsidP="00160352">
      <w:pPr>
        <w:suppressAutoHyphens/>
        <w:overflowPunct/>
        <w:ind w:firstLine="567"/>
        <w:jc w:val="both"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13) </w:t>
      </w:r>
      <w:r w:rsidRPr="00160352">
        <w:rPr>
          <w:iCs/>
          <w:sz w:val="28"/>
          <w:szCs w:val="28"/>
        </w:rPr>
        <w:t>Осуществление контроля:</w:t>
      </w:r>
    </w:p>
    <w:p w:rsidR="00160352" w:rsidRPr="00160352" w:rsidRDefault="00160352" w:rsidP="00160352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60352" w:rsidRDefault="00160352" w:rsidP="00160352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160352">
        <w:rPr>
          <w:iCs/>
          <w:sz w:val="28"/>
          <w:szCs w:val="28"/>
        </w:rPr>
        <w:t>возврата денежных средств, внесенных в качестве обеспечения исполнения заявок или обеспечения исполнения контрактов.</w:t>
      </w:r>
    </w:p>
    <w:p w:rsidR="00160352" w:rsidRPr="00160352" w:rsidRDefault="00160352" w:rsidP="00160352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          14)</w:t>
      </w:r>
      <w:r w:rsidRPr="00160352">
        <w:rPr>
          <w:color w:val="000000"/>
          <w:sz w:val="28"/>
          <w:szCs w:val="28"/>
        </w:rPr>
        <w:t>Ведение</w:t>
      </w:r>
      <w:r w:rsidRPr="00160352">
        <w:rPr>
          <w:sz w:val="28"/>
          <w:szCs w:val="24"/>
        </w:rPr>
        <w:t xml:space="preserve"> реестра контрактов на официальном общероссийском сайте и реестра закупок в информационной системе.</w:t>
      </w:r>
    </w:p>
    <w:p w:rsidR="00160352" w:rsidRPr="00160352" w:rsidRDefault="00160352" w:rsidP="00160352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15)</w:t>
      </w:r>
      <w:r w:rsidRPr="00160352">
        <w:rPr>
          <w:sz w:val="28"/>
          <w:szCs w:val="24"/>
        </w:rPr>
        <w:t>Анализ исполнения контрактов и соответствия сведений о контрактах на общероссийском сайте и внутренних информационных.</w:t>
      </w:r>
    </w:p>
    <w:p w:rsidR="00160352" w:rsidRPr="00160352" w:rsidRDefault="00160352" w:rsidP="00160352">
      <w:pPr>
        <w:suppressAutoHyphens/>
        <w:overflowPunct/>
        <w:ind w:firstLine="709"/>
        <w:jc w:val="both"/>
        <w:textAlignment w:val="auto"/>
        <w:rPr>
          <w:sz w:val="28"/>
          <w:szCs w:val="24"/>
        </w:rPr>
      </w:pPr>
      <w:r w:rsidRPr="00160352">
        <w:rPr>
          <w:sz w:val="28"/>
          <w:szCs w:val="24"/>
        </w:rPr>
        <w:t>16) О</w:t>
      </w:r>
      <w:r w:rsidRPr="00160352">
        <w:rPr>
          <w:color w:val="000000"/>
          <w:sz w:val="28"/>
          <w:szCs w:val="28"/>
        </w:rPr>
        <w:t>беспечение</w:t>
      </w:r>
      <w:r w:rsidRPr="00160352">
        <w:rPr>
          <w:sz w:val="28"/>
          <w:szCs w:val="24"/>
        </w:rPr>
        <w:t xml:space="preserve"> качественной и своевременной подготовки оформляемых документов.</w:t>
      </w:r>
    </w:p>
    <w:p w:rsidR="00160352" w:rsidRPr="00160352" w:rsidRDefault="00160352" w:rsidP="00160352">
      <w:pPr>
        <w:suppressAutoHyphens/>
        <w:overflowPunct/>
        <w:ind w:firstLine="709"/>
        <w:jc w:val="both"/>
        <w:textAlignment w:val="auto"/>
        <w:rPr>
          <w:iCs/>
          <w:sz w:val="28"/>
          <w:szCs w:val="28"/>
        </w:rPr>
      </w:pPr>
      <w:r w:rsidRPr="00160352">
        <w:rPr>
          <w:iCs/>
          <w:sz w:val="28"/>
          <w:szCs w:val="28"/>
        </w:rPr>
        <w:t>17) О</w:t>
      </w:r>
      <w:r w:rsidRPr="00160352">
        <w:rPr>
          <w:color w:val="000000"/>
          <w:sz w:val="28"/>
          <w:szCs w:val="28"/>
        </w:rPr>
        <w:t>существление</w:t>
      </w:r>
      <w:r w:rsidRPr="00160352">
        <w:rPr>
          <w:iCs/>
          <w:sz w:val="28"/>
          <w:szCs w:val="28"/>
        </w:rPr>
        <w:t xml:space="preserve"> мониторинга поставщиков (подрядчиков, исполнителей) и заказчиков в сфере закупок.</w:t>
      </w:r>
    </w:p>
    <w:p w:rsidR="00160352" w:rsidRPr="00160352" w:rsidRDefault="00160352" w:rsidP="00160352">
      <w:pPr>
        <w:overflowPunct/>
        <w:autoSpaceDE/>
        <w:autoSpaceDN/>
        <w:adjustRightInd/>
        <w:jc w:val="both"/>
        <w:textAlignment w:val="auto"/>
        <w:rPr>
          <w:spacing w:val="-2"/>
          <w:sz w:val="28"/>
          <w:szCs w:val="28"/>
        </w:rPr>
      </w:pPr>
      <w:r w:rsidRPr="00160352">
        <w:rPr>
          <w:spacing w:val="-2"/>
          <w:sz w:val="28"/>
          <w:szCs w:val="28"/>
        </w:rPr>
        <w:tab/>
        <w:t xml:space="preserve">18) </w:t>
      </w:r>
      <w:r w:rsidRPr="00160352">
        <w:rPr>
          <w:sz w:val="28"/>
          <w:szCs w:val="28"/>
        </w:rPr>
        <w:t>выдача доверенностей в соответствии с Положением о порядке оформления, регистрации прекращения и хранения доверенностей, выданных в Управлении;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 xml:space="preserve">19) разъяснение действующего законодательства и оказание юридической помощи сотрудникам Управления в осуществлении ими возложенных на них полномочий и иным вопросам; 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20) участие в проведении обучения (повышение правовых знаний) гражданских служащих и иных работников Управления;</w:t>
      </w:r>
    </w:p>
    <w:p w:rsidR="00160352" w:rsidRPr="00160352" w:rsidRDefault="00160352" w:rsidP="0016035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 xml:space="preserve">21) обеспечение деятельности Управления по предоставлению гражданам Российской Федерации бесплатной юридической помощи в виде правового консультирования в устной и письменной форме по вопросам, относящимся к компетенции Управления. </w:t>
      </w:r>
      <w:proofErr w:type="gramStart"/>
      <w:r w:rsidRPr="00160352">
        <w:rPr>
          <w:sz w:val="28"/>
          <w:szCs w:val="28"/>
        </w:rPr>
        <w:t>Рассмотрение таких обращений  самостоятельно или совместно с другими структурными подразделениями Управления;</w:t>
      </w:r>
      <w:proofErr w:type="gramEnd"/>
    </w:p>
    <w:p w:rsidR="00160352" w:rsidRPr="00160352" w:rsidRDefault="00160352" w:rsidP="0016035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>22) участие в планировании выполнения возложенных на отдел функций, в подготовке отчётности по результатам работы отдела;</w:t>
      </w:r>
    </w:p>
    <w:p w:rsidR="00160352" w:rsidRPr="00160352" w:rsidRDefault="00160352" w:rsidP="0016035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60352">
        <w:rPr>
          <w:sz w:val="28"/>
          <w:szCs w:val="28"/>
        </w:rPr>
        <w:t xml:space="preserve">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160352" w:rsidRPr="00160352" w:rsidRDefault="00160352" w:rsidP="0016035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160352">
        <w:rPr>
          <w:sz w:val="28"/>
          <w:szCs w:val="28"/>
        </w:rPr>
        <w:t xml:space="preserve">осуществление иных функций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 или </w:t>
      </w:r>
      <w:proofErr w:type="spellStart"/>
      <w:r w:rsidRPr="00160352">
        <w:rPr>
          <w:sz w:val="28"/>
          <w:szCs w:val="28"/>
        </w:rPr>
        <w:t>Минкомсвязи</w:t>
      </w:r>
      <w:proofErr w:type="spellEnd"/>
      <w:r w:rsidRPr="00160352">
        <w:rPr>
          <w:sz w:val="28"/>
          <w:szCs w:val="28"/>
        </w:rPr>
        <w:t xml:space="preserve"> России;</w:t>
      </w:r>
      <w:proofErr w:type="gramEnd"/>
    </w:p>
    <w:p w:rsidR="00160352" w:rsidRPr="00160352" w:rsidRDefault="00160352" w:rsidP="00160352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proofErr w:type="gramStart"/>
      <w:r w:rsidRPr="00160352">
        <w:rPr>
          <w:sz w:val="28"/>
          <w:szCs w:val="28"/>
        </w:rPr>
        <w:t xml:space="preserve">осуществление по поручению Руководителя Управления выполнения иных функций в установленной сфере деятельности Управления, если такие функции предусмотрены федеральными законами, нормативными правовыми актами </w:t>
      </w:r>
      <w:r w:rsidRPr="00160352">
        <w:rPr>
          <w:sz w:val="28"/>
          <w:szCs w:val="28"/>
        </w:rPr>
        <w:lastRenderedPageBreak/>
        <w:t>Президента Российской Федерации, Правительства Российской Федерации, правовыми актами Федеральной службы по надзору в сфере связи, информационных технологий и массовых коммуникаций и Управления или в случае служебной необходимости;</w:t>
      </w:r>
      <w:proofErr w:type="gramEnd"/>
    </w:p>
    <w:p w:rsidR="004575D2" w:rsidRDefault="004575D2" w:rsidP="004575D2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Гражданский кодекс Российской Федерации;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Гражданский процессуальный кодекс Российской Федерации;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Арбитражный процессуальный кодекс Российской Федерации;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Кодекс административного судопроизводства Российской Федерации;</w:t>
      </w:r>
    </w:p>
    <w:p w:rsid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Налоговый кодекс Российской Федерации;</w:t>
      </w:r>
    </w:p>
    <w:p w:rsid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6.</w:t>
      </w:r>
      <w:r w:rsidRPr="00521736">
        <w:rPr>
          <w:sz w:val="28"/>
          <w:szCs w:val="28"/>
        </w:rPr>
        <w:t>Бюджетный кодекс Российской Федерации;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 xml:space="preserve">Федеральный закон от 26.12.2008 г.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21736">
        <w:rPr>
          <w:sz w:val="28"/>
          <w:szCs w:val="28"/>
        </w:rPr>
        <w:t>Федеральный закон от 02.05.2006 г.  № 59-ФЗ «О порядке рассмотрения обращений граждан Российской Федерации»;</w:t>
      </w:r>
    </w:p>
    <w:p w:rsidR="00521736" w:rsidRPr="00521736" w:rsidRDefault="00521736" w:rsidP="00521736">
      <w:pPr>
        <w:pStyle w:val="a6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521736">
        <w:rPr>
          <w:sz w:val="28"/>
          <w:szCs w:val="28"/>
        </w:rPr>
        <w:t xml:space="preserve"> </w:t>
      </w:r>
      <w:r w:rsidRPr="00521736">
        <w:rPr>
          <w:sz w:val="28"/>
          <w:szCs w:val="28"/>
        </w:rPr>
        <w:t>Федеральный закон от 05.04.2013 г. № 44-ФЗ «</w:t>
      </w:r>
      <w:r w:rsidRPr="00521736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21736">
        <w:rPr>
          <w:sz w:val="28"/>
          <w:szCs w:val="28"/>
        </w:rPr>
        <w:t>» и подзаконные акты, принятые во исполнение данного закона;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</w:t>
      </w:r>
      <w:r w:rsidR="00521736">
        <w:rPr>
          <w:rFonts w:eastAsia="Calibri"/>
          <w:sz w:val="28"/>
          <w:szCs w:val="28"/>
          <w:lang w:eastAsia="en-US"/>
        </w:rPr>
        <w:t>адзора от 25 января 2016 г. №  5</w:t>
      </w:r>
      <w:r w:rsidRPr="004575D2">
        <w:rPr>
          <w:rFonts w:eastAsia="Calibri"/>
          <w:sz w:val="28"/>
          <w:szCs w:val="28"/>
          <w:lang w:eastAsia="en-US"/>
        </w:rPr>
        <w:t>3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6.1.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6.2.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6.3.</w:t>
      </w:r>
      <w:r w:rsidRPr="004575D2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4575D2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4575D2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6.4.</w:t>
      </w:r>
      <w:r w:rsidRPr="004575D2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6.5.</w:t>
      </w:r>
      <w:r w:rsidRPr="004575D2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4575D2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7.1.</w:t>
      </w:r>
      <w:r w:rsidRPr="004575D2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8.1.</w:t>
      </w:r>
      <w:r w:rsidRPr="004575D2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sectPr w:rsidR="004575D2" w:rsidRPr="004575D2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AD61F9"/>
    <w:multiLevelType w:val="hybridMultilevel"/>
    <w:tmpl w:val="9C7EFEBE"/>
    <w:lvl w:ilvl="0" w:tplc="639A9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146C7"/>
    <w:multiLevelType w:val="hybridMultilevel"/>
    <w:tmpl w:val="2A72AB1C"/>
    <w:lvl w:ilvl="0" w:tplc="AD18E942">
      <w:start w:val="14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D0D1E"/>
    <w:multiLevelType w:val="hybridMultilevel"/>
    <w:tmpl w:val="A90009AA"/>
    <w:lvl w:ilvl="0" w:tplc="07581E2A">
      <w:start w:val="14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F2D58"/>
    <w:multiLevelType w:val="hybridMultilevel"/>
    <w:tmpl w:val="318E6022"/>
    <w:lvl w:ilvl="0" w:tplc="C5909B9C">
      <w:start w:val="23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3509D"/>
    <w:multiLevelType w:val="hybridMultilevel"/>
    <w:tmpl w:val="9A8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0108A"/>
    <w:multiLevelType w:val="hybridMultilevel"/>
    <w:tmpl w:val="383CB7FA"/>
    <w:lvl w:ilvl="0" w:tplc="6F42B11E">
      <w:start w:val="8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0352"/>
    <w:rsid w:val="00166B92"/>
    <w:rsid w:val="00204E7D"/>
    <w:rsid w:val="00236867"/>
    <w:rsid w:val="00420F8A"/>
    <w:rsid w:val="004331E4"/>
    <w:rsid w:val="004575D2"/>
    <w:rsid w:val="004D039A"/>
    <w:rsid w:val="004E1488"/>
    <w:rsid w:val="004F4CDF"/>
    <w:rsid w:val="00521736"/>
    <w:rsid w:val="00550577"/>
    <w:rsid w:val="005A7ED5"/>
    <w:rsid w:val="00641254"/>
    <w:rsid w:val="00697122"/>
    <w:rsid w:val="006C33ED"/>
    <w:rsid w:val="006F51F0"/>
    <w:rsid w:val="0073656C"/>
    <w:rsid w:val="007F338B"/>
    <w:rsid w:val="009764E1"/>
    <w:rsid w:val="00A32F36"/>
    <w:rsid w:val="00A35A45"/>
    <w:rsid w:val="00A40DA5"/>
    <w:rsid w:val="00A803D5"/>
    <w:rsid w:val="00AD4A49"/>
    <w:rsid w:val="00AE5E7E"/>
    <w:rsid w:val="00B73EBC"/>
    <w:rsid w:val="00C73352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66DD9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35.rkn.gov.ru/" TargetMode="External"/><Relationship Id="rId12" Type="http://schemas.openxmlformats.org/officeDocument/2006/relationships/hyperlink" Target="https://gossluzhb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29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2</cp:revision>
  <dcterms:created xsi:type="dcterms:W3CDTF">2020-10-08T05:54:00Z</dcterms:created>
  <dcterms:modified xsi:type="dcterms:W3CDTF">2020-10-08T05:54:00Z</dcterms:modified>
</cp:coreProperties>
</file>