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9764E1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4331E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 w:rsidR="00F96164">
        <w:rPr>
          <w:b w:val="0"/>
          <w:szCs w:val="28"/>
        </w:rPr>
        <w:t xml:space="preserve"> и правовой работы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контроля (надзора)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9764E1" w:rsidRDefault="00AD4A49" w:rsidP="009764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9764E1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 xml:space="preserve">в рабочие дни понедельник-четверг с 9.00-18.00, пятница с 9.00-16.45, перерыв на обед: </w:t>
      </w:r>
      <w:r w:rsidRPr="008D5D1E">
        <w:rPr>
          <w:bCs/>
          <w:sz w:val="28"/>
          <w:szCs w:val="28"/>
        </w:rPr>
        <w:lastRenderedPageBreak/>
        <w:t>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4E1488">
        <w:rPr>
          <w:b/>
          <w:bCs/>
          <w:sz w:val="28"/>
          <w:szCs w:val="28"/>
          <w:highlight w:val="yellow"/>
        </w:rPr>
        <w:t>2</w:t>
      </w:r>
      <w:r w:rsidR="009764E1">
        <w:rPr>
          <w:b/>
          <w:bCs/>
          <w:sz w:val="28"/>
          <w:szCs w:val="28"/>
          <w:highlight w:val="yellow"/>
        </w:rPr>
        <w:t>2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9764E1">
        <w:rPr>
          <w:b/>
          <w:bCs/>
          <w:sz w:val="28"/>
          <w:szCs w:val="28"/>
          <w:highlight w:val="yellow"/>
        </w:rPr>
        <w:t xml:space="preserve">октября 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 xml:space="preserve">(88172) 239029  </w:t>
      </w: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Pr="009764E1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9764E1">
        <w:rPr>
          <w:bCs/>
          <w:sz w:val="28"/>
          <w:szCs w:val="28"/>
        </w:rPr>
        <w:t xml:space="preserve"> до </w:t>
      </w:r>
      <w:r w:rsidR="009764E1">
        <w:rPr>
          <w:b/>
          <w:bCs/>
          <w:sz w:val="28"/>
          <w:szCs w:val="28"/>
        </w:rPr>
        <w:t>22</w:t>
      </w:r>
      <w:r w:rsidRPr="00A40DA5">
        <w:rPr>
          <w:b/>
          <w:bCs/>
          <w:sz w:val="28"/>
          <w:szCs w:val="28"/>
        </w:rPr>
        <w:t xml:space="preserve"> </w:t>
      </w:r>
      <w:r w:rsidR="009764E1">
        <w:rPr>
          <w:b/>
          <w:bCs/>
          <w:sz w:val="28"/>
          <w:szCs w:val="28"/>
        </w:rPr>
        <w:t>ноября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 xml:space="preserve">рофессиональном уровне, показывать личный пример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9764E1" w:rsidRDefault="009764E1" w:rsidP="009764E1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9764E1" w:rsidRDefault="009764E1" w:rsidP="00697122">
      <w:pPr>
        <w:ind w:firstLine="567"/>
        <w:jc w:val="both"/>
        <w:rPr>
          <w:sz w:val="28"/>
          <w:szCs w:val="28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rFonts w:eastAsia="Calibri"/>
          <w:sz w:val="28"/>
          <w:szCs w:val="28"/>
          <w:lang w:eastAsia="en-US"/>
        </w:rPr>
        <w:t xml:space="preserve">1) </w:t>
      </w:r>
      <w:r w:rsidRPr="009764E1">
        <w:rPr>
          <w:kern w:val="1"/>
          <w:sz w:val="28"/>
          <w:szCs w:val="28"/>
          <w:lang w:eastAsia="ar-SA"/>
        </w:rPr>
        <w:t>Федеральный закон от 07.07.2003 № 126-ФЗ «О связи»;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2) Федеральный закон от 04.05.2011 № 99-ФЗ «О лицензировании отдельных видов деятельности»;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3) Федеральный закон от 26.06.2008 №  102-ФЗ «Об обеспечении единства измерений»;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4) Федеральный закон от 02.05.2006 № 59-ФЗ «О порядке рассмотрения обращений граждан Российской Федерации»;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5) Федеральный закон от 27.07.2006 № 149-ФЗ «Об информации, информационных технологиях и о защите информации»;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6) Федеральный закон от 29.12.2010 № 436-ФЗ «О защите детей от информации, причиняющей вред их здоровью и развитию»;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7) постановление Правительства Российской Федерации от 12.10.2004 № 539 «О порядке регистрации радиоэлектронных средств и высокочастотных устройств»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1.</w:t>
      </w:r>
      <w:r w:rsidRPr="009764E1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</w:t>
      </w:r>
      <w:r w:rsidRPr="009764E1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</w:t>
      </w:r>
      <w:r w:rsidRPr="009764E1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4.</w:t>
      </w:r>
      <w:r w:rsidRPr="009764E1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</w:t>
      </w:r>
      <w:r w:rsidRPr="009764E1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5.1.</w:t>
      </w:r>
      <w:r w:rsidRPr="009764E1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5.2.</w:t>
      </w:r>
      <w:r w:rsidRPr="009764E1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5.3.</w:t>
      </w:r>
      <w:r w:rsidRPr="009764E1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9764E1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9764E1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9764E1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5.4.</w:t>
      </w:r>
      <w:r w:rsidRPr="009764E1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5.5.</w:t>
      </w:r>
      <w:r w:rsidRPr="009764E1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9764E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764E1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5.6.</w:t>
      </w:r>
      <w:r w:rsidRPr="009764E1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6.1.</w:t>
      </w:r>
      <w:r w:rsidRPr="009764E1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6.2.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9764E1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7.1.</w:t>
      </w:r>
      <w:r w:rsidRPr="009764E1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</w:t>
      </w:r>
      <w:r w:rsidRPr="009764E1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</w:t>
      </w:r>
      <w:r w:rsidRPr="009764E1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1)</w:t>
      </w:r>
      <w:r w:rsidRPr="009764E1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2)</w:t>
      </w:r>
      <w:r w:rsidRPr="009764E1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3)</w:t>
      </w:r>
      <w:r w:rsidRPr="009764E1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4)</w:t>
      </w:r>
      <w:r w:rsidRPr="009764E1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9764E1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2)</w:t>
      </w:r>
      <w:r w:rsidRPr="009764E1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3)</w:t>
      </w:r>
      <w:r w:rsidRPr="009764E1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5)</w:t>
      </w:r>
      <w:r w:rsidRPr="009764E1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  <w:r w:rsidRPr="009764E1">
        <w:rPr>
          <w:rFonts w:eastAsia="Calibri"/>
          <w:sz w:val="28"/>
          <w:szCs w:val="28"/>
          <w:lang w:eastAsia="en-US"/>
        </w:rPr>
        <w:tab/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6)</w:t>
      </w:r>
      <w:r w:rsidRPr="009764E1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7)</w:t>
      </w:r>
      <w:r w:rsidRPr="009764E1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8)</w:t>
      </w:r>
      <w:r w:rsidRPr="009764E1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9)</w:t>
      </w:r>
      <w:r w:rsidRPr="009764E1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10)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11)</w:t>
      </w:r>
      <w:r w:rsidRPr="009764E1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12)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13)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14)</w:t>
      </w:r>
      <w:r w:rsidRPr="009764E1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9764E1" w:rsidRPr="009764E1" w:rsidRDefault="009764E1" w:rsidP="009764E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15)</w:t>
      </w:r>
      <w:r w:rsidRPr="009764E1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9764E1" w:rsidRPr="009764E1" w:rsidRDefault="009764E1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9764E1">
      <w:pPr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контроля (</w:t>
      </w:r>
      <w:r w:rsidRPr="00697122">
        <w:rPr>
          <w:b/>
          <w:szCs w:val="28"/>
          <w:u w:val="single"/>
        </w:rPr>
        <w:t>надзора</w:t>
      </w:r>
      <w:r w:rsidR="004E1488">
        <w:rPr>
          <w:b/>
          <w:szCs w:val="28"/>
          <w:u w:val="single"/>
        </w:rPr>
        <w:t>)</w:t>
      </w:r>
      <w:r w:rsidRPr="00697122">
        <w:rPr>
          <w:b/>
          <w:szCs w:val="28"/>
          <w:u w:val="single"/>
        </w:rPr>
        <w:t xml:space="preserve">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Роскомнадзора по </w:t>
      </w:r>
      <w:r w:rsidR="004331E4">
        <w:rPr>
          <w:sz w:val="28"/>
          <w:szCs w:val="28"/>
        </w:rPr>
        <w:t xml:space="preserve">Вологодской </w:t>
      </w:r>
      <w:r w:rsidRPr="0021403D">
        <w:rPr>
          <w:sz w:val="28"/>
          <w:szCs w:val="28"/>
        </w:rPr>
        <w:t xml:space="preserve">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4E1488" w:rsidRDefault="0069712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575D2" w:rsidRDefault="004575D2" w:rsidP="004575D2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</w:r>
      <w:r w:rsidRPr="004575D2">
        <w:rPr>
          <w:sz w:val="28"/>
          <w:szCs w:val="28"/>
        </w:rPr>
        <w:t xml:space="preserve">Федерального закона   от 27.12.1991 №2124-1 «О средствах массовой информации»;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 xml:space="preserve">2)     Федерального закона от 25.07.2002   № 114-ФЗ «О противодействии экстремистской деятельности»;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>3)   Федерального закона от 29.12.2010 № 436-ФЗ «О защите детей от информации, причиняющей вред их здоровью и развитию»;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 мая 2006 г. № 59-ФЗ «О порядке рассмотрения обращений граждан Российской Федерации»;</w:t>
      </w:r>
      <w:r w:rsidRPr="004575D2">
        <w:rPr>
          <w:rFonts w:eastAsia="Calibri"/>
          <w:sz w:val="28"/>
          <w:szCs w:val="28"/>
          <w:lang w:eastAsia="en-US"/>
        </w:rPr>
        <w:tab/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6.1.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6.2.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6.3.</w:t>
      </w:r>
      <w:r w:rsidRPr="004575D2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4575D2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4575D2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6.4.</w:t>
      </w:r>
      <w:r w:rsidRPr="004575D2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6.5.</w:t>
      </w:r>
      <w:r w:rsidRPr="004575D2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4575D2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7.1.</w:t>
      </w:r>
      <w:r w:rsidRPr="004575D2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8.1.</w:t>
      </w:r>
      <w:r w:rsidRPr="004575D2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5)</w:t>
      </w:r>
      <w:r w:rsidRPr="004575D2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6)</w:t>
      </w:r>
      <w:r w:rsidRPr="004575D2">
        <w:rPr>
          <w:rFonts w:eastAsia="Calibri"/>
          <w:sz w:val="28"/>
          <w:szCs w:val="28"/>
          <w:lang w:eastAsia="en-US"/>
        </w:rPr>
        <w:tab/>
        <w:t>формирование и ведение Реестра операторов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7)</w:t>
      </w:r>
      <w:r w:rsidRPr="004575D2">
        <w:rPr>
          <w:rFonts w:eastAsia="Calibri"/>
          <w:sz w:val="28"/>
          <w:szCs w:val="28"/>
          <w:lang w:eastAsia="en-US"/>
        </w:rPr>
        <w:tab/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8)</w:t>
      </w:r>
      <w:r w:rsidRPr="004575D2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9)</w:t>
      </w:r>
      <w:r w:rsidRPr="004575D2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10)</w:t>
      </w:r>
      <w:r w:rsidRPr="004575D2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11)</w:t>
      </w:r>
      <w:r w:rsidRPr="004575D2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13)</w:t>
      </w:r>
      <w:r w:rsidRPr="004575D2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14)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15)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16)</w:t>
      </w:r>
      <w:r w:rsidRPr="004575D2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17)</w:t>
      </w:r>
      <w:r w:rsidRPr="004575D2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4575D2" w:rsidRDefault="004575D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331E4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 в соответствии с Федеральным </w:t>
      </w:r>
      <w:hyperlink r:id="rId17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4575D2" w:rsidRDefault="004575D2" w:rsidP="004575D2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E65311" w:rsidRPr="00AE5E7E" w:rsidRDefault="00E65311" w:rsidP="004F4CDF">
      <w:pPr>
        <w:rPr>
          <w:b/>
          <w:bCs/>
          <w:sz w:val="28"/>
          <w:szCs w:val="28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27 июля 2006 г. № 152-ФЗ «О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27 июля 2006 г. № 149-ФЗ «Об информации, информационных технологиях и о защите информации»;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 мая 2006 г. № 59-ФЗ «О порядке рассмотрения обращений граждан Российской Федерации»;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5)</w:t>
      </w:r>
      <w:r w:rsidRPr="004575D2">
        <w:rPr>
          <w:rFonts w:eastAsia="Calibri"/>
          <w:sz w:val="28"/>
          <w:szCs w:val="28"/>
          <w:lang w:eastAsia="en-US"/>
        </w:rPr>
        <w:tab/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6)</w:t>
      </w:r>
      <w:r w:rsidRPr="004575D2">
        <w:rPr>
          <w:rFonts w:eastAsia="Calibri"/>
          <w:sz w:val="28"/>
          <w:szCs w:val="28"/>
          <w:lang w:eastAsia="en-US"/>
        </w:rPr>
        <w:tab/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7)</w:t>
      </w:r>
      <w:r w:rsidRPr="004575D2">
        <w:rPr>
          <w:rFonts w:eastAsia="Calibri"/>
          <w:sz w:val="28"/>
          <w:szCs w:val="28"/>
          <w:lang w:eastAsia="en-US"/>
        </w:rPr>
        <w:tab/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8)</w:t>
      </w:r>
      <w:r w:rsidRPr="004575D2">
        <w:rPr>
          <w:rFonts w:eastAsia="Calibri"/>
          <w:sz w:val="28"/>
          <w:szCs w:val="28"/>
          <w:lang w:eastAsia="en-US"/>
        </w:rPr>
        <w:tab/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4575D2">
        <w:rPr>
          <w:rFonts w:eastAsia="Calibri"/>
          <w:sz w:val="28"/>
          <w:szCs w:val="28"/>
          <w:lang w:eastAsia="en-US"/>
        </w:rPr>
        <w:t>9)</w:t>
      </w:r>
      <w:r w:rsidRPr="004575D2">
        <w:rPr>
          <w:rFonts w:eastAsia="Calibri"/>
          <w:sz w:val="28"/>
          <w:szCs w:val="28"/>
          <w:lang w:eastAsia="en-US"/>
        </w:rPr>
        <w:tab/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4575D2">
        <w:rPr>
          <w:rFonts w:eastAsia="Calibri"/>
          <w:sz w:val="28"/>
          <w:szCs w:val="28"/>
          <w:lang w:eastAsia="en-US"/>
        </w:rPr>
        <w:t>10)</w:t>
      </w:r>
      <w:r w:rsidRPr="004575D2">
        <w:rPr>
          <w:rFonts w:eastAsia="Calibri"/>
          <w:sz w:val="28"/>
          <w:szCs w:val="28"/>
          <w:lang w:eastAsia="en-US"/>
        </w:rPr>
        <w:tab/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11)</w:t>
      </w:r>
      <w:r w:rsidRPr="004575D2">
        <w:rPr>
          <w:rFonts w:eastAsia="Calibri"/>
          <w:sz w:val="28"/>
          <w:szCs w:val="28"/>
          <w:lang w:eastAsia="en-US"/>
        </w:rPr>
        <w:tab/>
        <w:t>иные нормативные акты, регулирующие деятельность в области защиты прав субъектов персональных данных.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2.2.3. Иные профессиональные знания ведущего специалиста-эксперта должны включать: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знание понятия персональных данных, принципы и условия их обработки;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персональных данных  при их обработке в информационных системах;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8.</w:t>
      </w:r>
      <w:r w:rsidRPr="004575D2">
        <w:rPr>
          <w:rFonts w:eastAsia="Calibri"/>
          <w:sz w:val="28"/>
          <w:szCs w:val="28"/>
          <w:lang w:eastAsia="en-US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9.</w:t>
      </w:r>
      <w:r w:rsidRPr="004575D2">
        <w:rPr>
          <w:rFonts w:eastAsia="Calibri"/>
          <w:sz w:val="28"/>
          <w:szCs w:val="28"/>
          <w:lang w:eastAsia="en-US"/>
        </w:rPr>
        <w:tab/>
        <w:t>знание методов и основ управления персоналом;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10.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организаторской работы;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11.1.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11.2.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11.3.</w:t>
      </w:r>
      <w:r w:rsidRPr="004575D2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4575D2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4575D2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11.4.</w:t>
      </w:r>
      <w:r w:rsidRPr="004575D2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11.5.</w:t>
      </w:r>
      <w:r w:rsidRPr="004575D2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4575D2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11.6.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12.1.</w:t>
      </w:r>
      <w:r w:rsidRPr="004575D2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12.2.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13.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13.1.</w:t>
      </w:r>
      <w:r w:rsidRPr="004575D2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организовывать, планировать рабочее время и расставлять приоритеты;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владение конструктивной критикой, умение внимательно слушать коллег;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>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5)</w:t>
      </w:r>
      <w:r w:rsidRPr="004575D2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6)</w:t>
      </w:r>
      <w:r w:rsidRPr="004575D2">
        <w:rPr>
          <w:rFonts w:eastAsia="Calibri"/>
          <w:sz w:val="28"/>
          <w:szCs w:val="28"/>
          <w:lang w:eastAsia="en-US"/>
        </w:rPr>
        <w:tab/>
        <w:t>формирование и ведение Реестра операторов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7)</w:t>
      </w:r>
      <w:r w:rsidRPr="004575D2">
        <w:rPr>
          <w:rFonts w:eastAsia="Calibri"/>
          <w:sz w:val="28"/>
          <w:szCs w:val="28"/>
          <w:lang w:eastAsia="en-US"/>
        </w:rPr>
        <w:tab/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8)</w:t>
      </w:r>
      <w:r w:rsidRPr="004575D2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9)</w:t>
      </w:r>
      <w:r w:rsidRPr="004575D2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10)</w:t>
      </w:r>
      <w:r w:rsidRPr="004575D2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11)</w:t>
      </w:r>
      <w:r w:rsidRPr="004575D2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13)</w:t>
      </w:r>
      <w:r w:rsidRPr="004575D2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15)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16)</w:t>
      </w:r>
      <w:r w:rsidRPr="004575D2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17)</w:t>
      </w:r>
      <w:r w:rsidRPr="004575D2">
        <w:rPr>
          <w:rFonts w:eastAsia="Calibri"/>
          <w:sz w:val="28"/>
          <w:szCs w:val="28"/>
          <w:lang w:eastAsia="en-US"/>
        </w:rPr>
        <w:tab/>
        <w:t>организация судебной работы в области защиты прав субъектов персональных данных в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18)</w:t>
      </w:r>
      <w:r w:rsidRPr="004575D2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550577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420F8A"/>
    <w:rsid w:val="004331E4"/>
    <w:rsid w:val="004575D2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9764E1"/>
    <w:rsid w:val="00A32F36"/>
    <w:rsid w:val="00A35A45"/>
    <w:rsid w:val="00A40DA5"/>
    <w:rsid w:val="00A803D5"/>
    <w:rsid w:val="00AD4A49"/>
    <w:rsid w:val="00AE5E7E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2F3B4A1877AAE8A45CB6D16B6EBEA76A89EB2CE732201B7A0D0DD2D8C2q9x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25</Pages>
  <Words>8587</Words>
  <Characters>48947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6</cp:revision>
  <dcterms:created xsi:type="dcterms:W3CDTF">2019-01-21T11:03:00Z</dcterms:created>
  <dcterms:modified xsi:type="dcterms:W3CDTF">2019-10-10T08:23:00Z</dcterms:modified>
</cp:coreProperties>
</file>