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9306B0" w:rsidRDefault="00AD4A49" w:rsidP="009306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9306B0">
        <w:rPr>
          <w:b/>
          <w:bCs/>
          <w:sz w:val="28"/>
          <w:szCs w:val="28"/>
          <w:highlight w:val="yellow"/>
        </w:rPr>
        <w:t>15 мая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9306B0">
        <w:rPr>
          <w:b/>
          <w:bCs/>
          <w:sz w:val="28"/>
          <w:szCs w:val="28"/>
        </w:rPr>
        <w:t xml:space="preserve"> до 15 июня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 xml:space="preserve"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</w:t>
      </w:r>
      <w:r w:rsidRPr="004E5D86">
        <w:rPr>
          <w:sz w:val="28"/>
          <w:szCs w:val="28"/>
        </w:rPr>
        <w:lastRenderedPageBreak/>
        <w:t>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>«Юриспруденция», «Государственно</w:t>
      </w:r>
      <w:r w:rsidR="00C722DC">
        <w:rPr>
          <w:sz w:val="28"/>
          <w:szCs w:val="28"/>
        </w:rPr>
        <w:t xml:space="preserve">е и муниципальное управление», </w:t>
      </w:r>
      <w:r w:rsidRPr="003A08C0">
        <w:rPr>
          <w:rFonts w:eastAsia="Calibri"/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lastRenderedPageBreak/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E65311" w:rsidRPr="00AE5E7E" w:rsidRDefault="00E65311" w:rsidP="004F4CDF">
      <w:pPr>
        <w:rPr>
          <w:b/>
          <w:bCs/>
          <w:sz w:val="28"/>
          <w:szCs w:val="28"/>
        </w:rPr>
      </w:pPr>
      <w:bookmarkStart w:id="0" w:name="_GoBack"/>
      <w:bookmarkEnd w:id="0"/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420F8A"/>
    <w:rsid w:val="004C024B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930338"/>
    <w:rsid w:val="009306B0"/>
    <w:rsid w:val="00A32F36"/>
    <w:rsid w:val="00A35A45"/>
    <w:rsid w:val="00A40DA5"/>
    <w:rsid w:val="00A803D5"/>
    <w:rsid w:val="00AD4A49"/>
    <w:rsid w:val="00AE5E7E"/>
    <w:rsid w:val="00C722DC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3</cp:revision>
  <dcterms:created xsi:type="dcterms:W3CDTF">2019-04-29T09:42:00Z</dcterms:created>
  <dcterms:modified xsi:type="dcterms:W3CDTF">2019-04-29T10:47:00Z</dcterms:modified>
</cp:coreProperties>
</file>